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52A50" w14:textId="05AB0E05" w:rsidR="003F0A1B" w:rsidRPr="00B15D86" w:rsidRDefault="003F0A1B" w:rsidP="003F0A1B">
      <w:pPr>
        <w:pStyle w:val="NormalWeb"/>
        <w:rPr>
          <w:rStyle w:val="Textoennegrita"/>
          <w:sz w:val="28"/>
          <w:szCs w:val="28"/>
        </w:rPr>
      </w:pPr>
      <w:r w:rsidRPr="00B15D86">
        <w:rPr>
          <w:rStyle w:val="Textoennegrita"/>
          <w:sz w:val="28"/>
          <w:szCs w:val="28"/>
        </w:rPr>
        <w:t xml:space="preserve">Informe técnico: Evaluación de fungicidas para el control de enfermedades fúngicas en </w:t>
      </w:r>
      <w:proofErr w:type="spellStart"/>
      <w:r w:rsidRPr="00B15D86">
        <w:rPr>
          <w:rStyle w:val="Textoennegrita"/>
          <w:sz w:val="28"/>
          <w:szCs w:val="28"/>
        </w:rPr>
        <w:t>Carinata</w:t>
      </w:r>
      <w:proofErr w:type="spellEnd"/>
      <w:r w:rsidR="00B15D86" w:rsidRPr="00B15D86">
        <w:rPr>
          <w:rStyle w:val="Textoennegrita"/>
          <w:sz w:val="28"/>
          <w:szCs w:val="28"/>
        </w:rPr>
        <w:t xml:space="preserve"> – Campaña 24/25</w:t>
      </w:r>
    </w:p>
    <w:p w14:paraId="35D9E07E" w14:textId="34A2F961" w:rsidR="00B15D86" w:rsidRDefault="00B15D86" w:rsidP="003F0A1B">
      <w:pPr>
        <w:pStyle w:val="NormalWeb"/>
      </w:pPr>
      <w:r>
        <w:rPr>
          <w:rStyle w:val="Textoennegrita"/>
        </w:rPr>
        <w:t xml:space="preserve">Dr. Franco Rossi. </w:t>
      </w:r>
    </w:p>
    <w:p w14:paraId="71F50DF6" w14:textId="4661904E" w:rsidR="003F0A1B" w:rsidRDefault="003F0A1B" w:rsidP="003F0A1B">
      <w:pPr>
        <w:pStyle w:val="NormalWeb"/>
      </w:pPr>
      <w:r>
        <w:rPr>
          <w:rStyle w:val="Textoennegrita"/>
        </w:rPr>
        <w:t>Introducción</w:t>
      </w:r>
      <w:r>
        <w:t xml:space="preserve"> El cultivo de </w:t>
      </w:r>
      <w:proofErr w:type="spellStart"/>
      <w:r>
        <w:t>Carinata</w:t>
      </w:r>
      <w:proofErr w:type="spellEnd"/>
      <w:r>
        <w:t xml:space="preserve"> (</w:t>
      </w:r>
      <w:proofErr w:type="spellStart"/>
      <w:r w:rsidRPr="009910F0">
        <w:rPr>
          <w:i/>
          <w:iCs/>
        </w:rPr>
        <w:t>Brassica</w:t>
      </w:r>
      <w:proofErr w:type="spellEnd"/>
      <w:r w:rsidRPr="009910F0">
        <w:rPr>
          <w:i/>
          <w:iCs/>
        </w:rPr>
        <w:t xml:space="preserve"> </w:t>
      </w:r>
      <w:proofErr w:type="spellStart"/>
      <w:r w:rsidRPr="009910F0">
        <w:rPr>
          <w:i/>
          <w:iCs/>
        </w:rPr>
        <w:t>carinata</w:t>
      </w:r>
      <w:proofErr w:type="spellEnd"/>
      <w:r>
        <w:t xml:space="preserve">) representa una alternativa sustentable para la producción de biocombustibles destinados a la industria de la aviación. Sin embargo, la incidencia de enfermedades fúngicas, particularmente aquellas causadas por </w:t>
      </w:r>
      <w:r w:rsidRPr="009910F0">
        <w:rPr>
          <w:i/>
          <w:iCs/>
        </w:rPr>
        <w:t>Alternaria</w:t>
      </w:r>
      <w:r>
        <w:t xml:space="preserve"> </w:t>
      </w:r>
      <w:proofErr w:type="spellStart"/>
      <w:r>
        <w:t>sp</w:t>
      </w:r>
      <w:proofErr w:type="spellEnd"/>
      <w:r>
        <w:t xml:space="preserve">. </w:t>
      </w:r>
      <w:r w:rsidR="00510BB7">
        <w:t>y</w:t>
      </w:r>
      <w:r>
        <w:t xml:space="preserve"> </w:t>
      </w:r>
      <w:proofErr w:type="spellStart"/>
      <w:r w:rsidRPr="009910F0">
        <w:rPr>
          <w:i/>
          <w:iCs/>
        </w:rPr>
        <w:t>Sclerotinia</w:t>
      </w:r>
      <w:proofErr w:type="spellEnd"/>
      <w:r w:rsidRPr="009910F0">
        <w:rPr>
          <w:i/>
          <w:iCs/>
        </w:rPr>
        <w:t xml:space="preserve"> </w:t>
      </w:r>
      <w:proofErr w:type="spellStart"/>
      <w:r w:rsidRPr="009910F0">
        <w:rPr>
          <w:i/>
          <w:iCs/>
        </w:rPr>
        <w:t>sclerotiorum</w:t>
      </w:r>
      <w:proofErr w:type="spellEnd"/>
      <w:r>
        <w:t>, constituye un desafío importante para alcanzar rendimientos óptimos. Este informe presenta los resultados de un ensayo de asistencia técnica realizado en 2024, enfocado en evaluar la eficacia de cuatro fungicidas para el control de enfermedades y su impacto en el rendimiento y calidad del grano.</w:t>
      </w:r>
    </w:p>
    <w:p w14:paraId="61257A78" w14:textId="77777777" w:rsidR="003F0A1B" w:rsidRDefault="003F0A1B" w:rsidP="003F0A1B">
      <w:pPr>
        <w:pStyle w:val="NormalWeb"/>
      </w:pPr>
      <w:r>
        <w:rPr>
          <w:rStyle w:val="Textoennegrita"/>
        </w:rPr>
        <w:t>Materiales y Métodos</w:t>
      </w:r>
    </w:p>
    <w:p w14:paraId="75D84135" w14:textId="77777777" w:rsidR="003F0A1B" w:rsidRDefault="003F0A1B" w:rsidP="003F0A1B">
      <w:pPr>
        <w:pStyle w:val="NormalWeb"/>
        <w:numPr>
          <w:ilvl w:val="0"/>
          <w:numId w:val="1"/>
        </w:numPr>
      </w:pPr>
      <w:r>
        <w:rPr>
          <w:rStyle w:val="Textoennegrita"/>
        </w:rPr>
        <w:t>Diseño experimental</w:t>
      </w:r>
      <w:r>
        <w:t>: El ensayo se realizó en parcelas de 1,4 x 6 metros con cuatro réplicas por tratamiento. Se incluyó un tratamiento testigo sin aplicación de fungicidas.</w:t>
      </w:r>
    </w:p>
    <w:p w14:paraId="044A7283" w14:textId="686FA403" w:rsidR="003F0A1B" w:rsidRDefault="003F0A1B" w:rsidP="003F0A1B">
      <w:pPr>
        <w:pStyle w:val="NormalWeb"/>
        <w:numPr>
          <w:ilvl w:val="0"/>
          <w:numId w:val="1"/>
        </w:numPr>
      </w:pPr>
      <w:r>
        <w:rPr>
          <w:rStyle w:val="Textoennegrita"/>
        </w:rPr>
        <w:t>Fecha de siembra y cosecha</w:t>
      </w:r>
      <w:r>
        <w:t>: La siembra se llevó a cabo el 3 de mayo de 2024, y la cosecha se realizó el 21 de noviembre de 2024. Ciclo total del cultivo: 202 días</w:t>
      </w:r>
    </w:p>
    <w:p w14:paraId="3717C091" w14:textId="77777777" w:rsidR="003F0A1B" w:rsidRDefault="003F0A1B" w:rsidP="003F0A1B">
      <w:pPr>
        <w:pStyle w:val="NormalWeb"/>
        <w:numPr>
          <w:ilvl w:val="0"/>
          <w:numId w:val="1"/>
        </w:numPr>
      </w:pPr>
      <w:r>
        <w:rPr>
          <w:rStyle w:val="Textoennegrita"/>
        </w:rPr>
        <w:t>Densidad de plantas</w:t>
      </w:r>
      <w:r>
        <w:t>: Se logró una densidad promedio de 53 plantas por metro cuadrado.</w:t>
      </w:r>
    </w:p>
    <w:p w14:paraId="25433E43" w14:textId="5F561196" w:rsidR="003F0A1B" w:rsidRDefault="003F0A1B" w:rsidP="003F0A1B">
      <w:pPr>
        <w:pStyle w:val="NormalWeb"/>
        <w:numPr>
          <w:ilvl w:val="0"/>
          <w:numId w:val="1"/>
        </w:numPr>
      </w:pPr>
      <w:r>
        <w:rPr>
          <w:rStyle w:val="Textoennegrita"/>
        </w:rPr>
        <w:t>Tratamientos evaluados</w:t>
      </w:r>
      <w:r>
        <w:t xml:space="preserve">: Se aplicaron los fungicidas Orquesta Ultra, </w:t>
      </w:r>
      <w:proofErr w:type="spellStart"/>
      <w:r>
        <w:t>Duett</w:t>
      </w:r>
      <w:proofErr w:type="spellEnd"/>
      <w:r>
        <w:t xml:space="preserve"> Plus, Allegro y Amistar </w:t>
      </w:r>
      <w:proofErr w:type="spellStart"/>
      <w:r>
        <w:t>Xtra</w:t>
      </w:r>
      <w:proofErr w:type="spellEnd"/>
      <w:r>
        <w:t xml:space="preserve"> en el momento de la elongación de la vara floral.</w:t>
      </w:r>
    </w:p>
    <w:p w14:paraId="5BBCF581" w14:textId="77777777" w:rsidR="00A8271A" w:rsidRDefault="00A8271A" w:rsidP="00A8271A">
      <w:pPr>
        <w:pStyle w:val="NormalWeb"/>
        <w:spacing w:before="0" w:beforeAutospacing="0" w:after="0" w:afterAutospacing="0"/>
        <w:ind w:left="720"/>
      </w:pPr>
      <w:proofErr w:type="spellStart"/>
      <w:r>
        <w:t>Duett</w:t>
      </w:r>
      <w:proofErr w:type="spellEnd"/>
      <w:r>
        <w:t xml:space="preserve"> Plus = Swing plus (Basf) 1 </w:t>
      </w:r>
      <w:proofErr w:type="spellStart"/>
      <w:r>
        <w:t>lt</w:t>
      </w:r>
      <w:proofErr w:type="spellEnd"/>
      <w:r>
        <w:t>/ha</w:t>
      </w:r>
    </w:p>
    <w:p w14:paraId="7B23328C" w14:textId="77777777" w:rsidR="00A8271A" w:rsidRDefault="00A8271A" w:rsidP="00A8271A">
      <w:pPr>
        <w:pStyle w:val="NormalWeb"/>
        <w:spacing w:before="0" w:beforeAutospacing="0" w:after="0" w:afterAutospacing="0"/>
        <w:ind w:left="720"/>
      </w:pPr>
      <w:r>
        <w:t xml:space="preserve">Orquesta Ultra = </w:t>
      </w:r>
      <w:proofErr w:type="spellStart"/>
      <w:r>
        <w:t>Xantho</w:t>
      </w:r>
      <w:proofErr w:type="spellEnd"/>
      <w:r>
        <w:t xml:space="preserve"> (Basf) 750 ml/ha</w:t>
      </w:r>
    </w:p>
    <w:p w14:paraId="10571927" w14:textId="77777777" w:rsidR="00A8271A" w:rsidRDefault="00A8271A" w:rsidP="00A8271A">
      <w:pPr>
        <w:pStyle w:val="NormalWeb"/>
        <w:spacing w:before="0" w:beforeAutospacing="0" w:after="0" w:afterAutospacing="0"/>
        <w:ind w:left="720"/>
      </w:pPr>
      <w:r>
        <w:t>Allegro (Basf) 750 ml/ha</w:t>
      </w:r>
    </w:p>
    <w:p w14:paraId="03ED8E5F" w14:textId="1B4433B7" w:rsidR="00A8271A" w:rsidRDefault="00A8271A" w:rsidP="00A8271A">
      <w:pPr>
        <w:pStyle w:val="NormalWeb"/>
        <w:spacing w:before="0" w:beforeAutospacing="0" w:after="0" w:afterAutospacing="0"/>
        <w:ind w:left="720"/>
      </w:pPr>
      <w:r>
        <w:t xml:space="preserve">Amistar </w:t>
      </w:r>
      <w:proofErr w:type="spellStart"/>
      <w:r>
        <w:t>Xtra</w:t>
      </w:r>
      <w:proofErr w:type="spellEnd"/>
      <w:r>
        <w:t xml:space="preserve"> (Syngenta) 300 ml/ha</w:t>
      </w:r>
    </w:p>
    <w:p w14:paraId="2280B319" w14:textId="77777777" w:rsidR="00A8271A" w:rsidRDefault="00A8271A" w:rsidP="00A8271A">
      <w:pPr>
        <w:pStyle w:val="NormalWeb"/>
        <w:spacing w:before="0" w:beforeAutospacing="0" w:after="0" w:afterAutospacing="0"/>
        <w:ind w:left="720"/>
      </w:pPr>
    </w:p>
    <w:p w14:paraId="0C2DC2AD" w14:textId="408AC06A" w:rsidR="00A8271A" w:rsidRDefault="003F0A1B" w:rsidP="00A8271A">
      <w:pPr>
        <w:pStyle w:val="NormalWeb"/>
        <w:numPr>
          <w:ilvl w:val="0"/>
          <w:numId w:val="1"/>
        </w:numPr>
      </w:pPr>
      <w:r>
        <w:rPr>
          <w:rStyle w:val="Textoennegrita"/>
        </w:rPr>
        <w:t>Variables medidas</w:t>
      </w:r>
      <w:r>
        <w:t>:</w:t>
      </w:r>
    </w:p>
    <w:p w14:paraId="7FE282FC" w14:textId="06843DAF" w:rsidR="003F0A1B" w:rsidRDefault="00A8271A" w:rsidP="003F0A1B">
      <w:pPr>
        <w:pStyle w:val="NormalWeb"/>
        <w:numPr>
          <w:ilvl w:val="1"/>
          <w:numId w:val="1"/>
        </w:numPr>
      </w:pPr>
      <w:r w:rsidRPr="00A8271A">
        <w:rPr>
          <w:b/>
          <w:bCs/>
        </w:rPr>
        <w:t xml:space="preserve">Severidad e </w:t>
      </w:r>
      <w:r w:rsidR="003F0A1B" w:rsidRPr="00A8271A">
        <w:rPr>
          <w:b/>
          <w:bCs/>
        </w:rPr>
        <w:t>Incidencia de la enfermedad</w:t>
      </w:r>
      <w:r>
        <w:t>. La severidad se estableció en 4 grados. Para la estimación de la incidencia se</w:t>
      </w:r>
      <w:r w:rsidR="003F0A1B">
        <w:t xml:space="preserve"> considera</w:t>
      </w:r>
      <w:r>
        <w:t>ron</w:t>
      </w:r>
      <w:r w:rsidR="003F0A1B">
        <w:t xml:space="preserve"> plantas vivas (grados</w:t>
      </w:r>
      <w:r>
        <w:t xml:space="preserve"> de severidad</w:t>
      </w:r>
      <w:r w:rsidR="003F0A1B">
        <w:t xml:space="preserve"> 0 y 1) y plantas muertas (grados</w:t>
      </w:r>
      <w:r>
        <w:t xml:space="preserve"> de severidad</w:t>
      </w:r>
      <w:r w:rsidR="003F0A1B">
        <w:t xml:space="preserve"> 2 y 3) (Gráfico 1).</w:t>
      </w:r>
      <w:r>
        <w:t xml:space="preserve"> </w:t>
      </w:r>
    </w:p>
    <w:p w14:paraId="2FC7F5F5" w14:textId="77777777" w:rsidR="003F0A1B" w:rsidRDefault="003F0A1B" w:rsidP="003F0A1B">
      <w:pPr>
        <w:pStyle w:val="NormalWeb"/>
        <w:numPr>
          <w:ilvl w:val="1"/>
          <w:numId w:val="1"/>
        </w:numPr>
      </w:pPr>
      <w:r w:rsidRPr="00A8271A">
        <w:rPr>
          <w:b/>
          <w:bCs/>
        </w:rPr>
        <w:t>Rendimiento de las parcelas</w:t>
      </w:r>
      <w:r>
        <w:t>, expresado en kg/ha (Gráfico 2).</w:t>
      </w:r>
    </w:p>
    <w:p w14:paraId="25338DF3" w14:textId="77777777" w:rsidR="003F0A1B" w:rsidRDefault="003F0A1B" w:rsidP="003F0A1B">
      <w:pPr>
        <w:pStyle w:val="NormalWeb"/>
        <w:numPr>
          <w:ilvl w:val="1"/>
          <w:numId w:val="1"/>
        </w:numPr>
      </w:pPr>
      <w:r w:rsidRPr="00A8271A">
        <w:rPr>
          <w:b/>
          <w:bCs/>
        </w:rPr>
        <w:t>Peso de 1000 granos según la sintomatología observada</w:t>
      </w:r>
      <w:r>
        <w:t xml:space="preserve"> (Gráfico 3):</w:t>
      </w:r>
    </w:p>
    <w:p w14:paraId="45D963DE" w14:textId="77777777" w:rsidR="003F0A1B" w:rsidRDefault="003F0A1B" w:rsidP="003F0A1B">
      <w:pPr>
        <w:pStyle w:val="NormalWeb"/>
        <w:numPr>
          <w:ilvl w:val="2"/>
          <w:numId w:val="1"/>
        </w:numPr>
      </w:pPr>
      <w:r>
        <w:t>Grado 0: Planta sana.</w:t>
      </w:r>
    </w:p>
    <w:p w14:paraId="3FD90527" w14:textId="77777777" w:rsidR="003F0A1B" w:rsidRDefault="003F0A1B" w:rsidP="003F0A1B">
      <w:pPr>
        <w:pStyle w:val="NormalWeb"/>
        <w:numPr>
          <w:ilvl w:val="2"/>
          <w:numId w:val="1"/>
        </w:numPr>
      </w:pPr>
      <w:r>
        <w:t>Grado 1: Planta verde con síntomas de infección.</w:t>
      </w:r>
    </w:p>
    <w:p w14:paraId="03A78A47" w14:textId="5C31D420" w:rsidR="003F0A1B" w:rsidRDefault="003F0A1B" w:rsidP="003F0A1B">
      <w:pPr>
        <w:pStyle w:val="NormalWeb"/>
        <w:numPr>
          <w:ilvl w:val="2"/>
          <w:numId w:val="1"/>
        </w:numPr>
      </w:pPr>
      <w:r>
        <w:t xml:space="preserve">Grado 2: Planta muerta por infección </w:t>
      </w:r>
      <w:proofErr w:type="spellStart"/>
      <w:r>
        <w:t>posfloración</w:t>
      </w:r>
      <w:proofErr w:type="spellEnd"/>
      <w:r w:rsidR="005637AE">
        <w:t xml:space="preserve"> durante el llenado de granos</w:t>
      </w:r>
      <w:r>
        <w:t>.</w:t>
      </w:r>
    </w:p>
    <w:p w14:paraId="4D7088DA" w14:textId="77777777" w:rsidR="003F0A1B" w:rsidRDefault="003F0A1B" w:rsidP="003F0A1B">
      <w:pPr>
        <w:pStyle w:val="NormalWeb"/>
        <w:numPr>
          <w:ilvl w:val="2"/>
          <w:numId w:val="1"/>
        </w:numPr>
      </w:pPr>
      <w:r>
        <w:t>Grado 3: Planta muerta por infección temprana en floración.</w:t>
      </w:r>
    </w:p>
    <w:p w14:paraId="713F02D6" w14:textId="77777777" w:rsidR="003F0A1B" w:rsidRDefault="003F0A1B" w:rsidP="003F0A1B">
      <w:pPr>
        <w:pStyle w:val="NormalWeb"/>
        <w:numPr>
          <w:ilvl w:val="1"/>
          <w:numId w:val="1"/>
        </w:numPr>
      </w:pPr>
      <w:r w:rsidRPr="00A8271A">
        <w:rPr>
          <w:b/>
          <w:bCs/>
        </w:rPr>
        <w:t>Peso de 1000 granos en los diferentes tratamientos con fungicidas</w:t>
      </w:r>
      <w:r>
        <w:t xml:space="preserve"> (Gráfico 4).</w:t>
      </w:r>
    </w:p>
    <w:p w14:paraId="76261547" w14:textId="77777777" w:rsidR="003973BD" w:rsidRDefault="003973BD" w:rsidP="003F0A1B">
      <w:pPr>
        <w:pStyle w:val="NormalWeb"/>
        <w:rPr>
          <w:rStyle w:val="Textoennegrita"/>
        </w:rPr>
      </w:pPr>
    </w:p>
    <w:p w14:paraId="7E04632E" w14:textId="77777777" w:rsidR="003973BD" w:rsidRDefault="003973BD" w:rsidP="003F0A1B">
      <w:pPr>
        <w:pStyle w:val="NormalWeb"/>
        <w:rPr>
          <w:rStyle w:val="Textoennegrita"/>
        </w:rPr>
      </w:pPr>
    </w:p>
    <w:p w14:paraId="195CBE4F" w14:textId="2E0B2E85" w:rsidR="003F0A1B" w:rsidRDefault="003F0A1B" w:rsidP="003F0A1B">
      <w:pPr>
        <w:pStyle w:val="NormalWeb"/>
      </w:pPr>
      <w:r>
        <w:rPr>
          <w:rStyle w:val="Textoennegrita"/>
        </w:rPr>
        <w:t>Resultados</w:t>
      </w:r>
    </w:p>
    <w:p w14:paraId="15FDAC33" w14:textId="00EE1A36" w:rsidR="003F0A1B" w:rsidRDefault="003F0A1B" w:rsidP="003F0A1B">
      <w:pPr>
        <w:pStyle w:val="NormalWeb"/>
        <w:numPr>
          <w:ilvl w:val="0"/>
          <w:numId w:val="2"/>
        </w:numPr>
      </w:pPr>
      <w:r>
        <w:rPr>
          <w:rStyle w:val="Textoennegrita"/>
        </w:rPr>
        <w:t>Incidencia de la enfermedad (Gráfico 1)</w:t>
      </w:r>
      <w:r>
        <w:t>: Todos los fungicidas evaluados lograron disminuir la incidencia de la enfermedad en comparación con el testigo. Se consideró como plantas vivas aquellas clasificadas con grados 0 y 1, y como muertas las de grados 2 y 3.</w:t>
      </w:r>
      <w:r w:rsidR="00277805">
        <w:t xml:space="preserve"> En este caso en particular es importante destacar la alta incidencia de </w:t>
      </w:r>
      <w:r w:rsidR="00277805" w:rsidRPr="009910F0">
        <w:rPr>
          <w:i/>
          <w:iCs/>
        </w:rPr>
        <w:t xml:space="preserve">S. </w:t>
      </w:r>
      <w:proofErr w:type="spellStart"/>
      <w:r w:rsidR="00277805" w:rsidRPr="009910F0">
        <w:rPr>
          <w:i/>
          <w:iCs/>
        </w:rPr>
        <w:t>sclerotiorum</w:t>
      </w:r>
      <w:proofErr w:type="spellEnd"/>
      <w:r w:rsidR="00277805">
        <w:t xml:space="preserve">, a diferencia de otros años en los que la enfermedad no había sido tan preponderante. Se pudieron observar plantas con síntomas de mancha negra por </w:t>
      </w:r>
      <w:r w:rsidR="00277805" w:rsidRPr="00C90487">
        <w:rPr>
          <w:i/>
          <w:iCs/>
        </w:rPr>
        <w:t>Alternaria</w:t>
      </w:r>
      <w:r w:rsidR="00277805">
        <w:t xml:space="preserve"> </w:t>
      </w:r>
      <w:proofErr w:type="spellStart"/>
      <w:r w:rsidR="00277805">
        <w:t>sp</w:t>
      </w:r>
      <w:proofErr w:type="spellEnd"/>
      <w:r w:rsidR="00277805">
        <w:t xml:space="preserve">. en los primeros estadios del cultivo (etapa de roseta y comienzo de floración) pero que no afectaron el llenado de granos. Las plantas afectadas por </w:t>
      </w:r>
      <w:r w:rsidR="00277805" w:rsidRPr="009910F0">
        <w:rPr>
          <w:i/>
          <w:iCs/>
        </w:rPr>
        <w:t xml:space="preserve">S. </w:t>
      </w:r>
      <w:proofErr w:type="spellStart"/>
      <w:r w:rsidR="00277805" w:rsidRPr="009910F0">
        <w:rPr>
          <w:i/>
          <w:iCs/>
        </w:rPr>
        <w:t>sclerotiorum</w:t>
      </w:r>
      <w:proofErr w:type="spellEnd"/>
      <w:r w:rsidR="00277805">
        <w:t xml:space="preserve"> en estadios tempranos también mostraron claros síntomas de infección por Alternaria </w:t>
      </w:r>
      <w:proofErr w:type="spellStart"/>
      <w:r w:rsidR="00277805">
        <w:t>sp</w:t>
      </w:r>
      <w:proofErr w:type="spellEnd"/>
      <w:r w:rsidR="00277805">
        <w:t xml:space="preserve">., sin </w:t>
      </w:r>
      <w:r w:rsidR="009910F0">
        <w:t>embargo,</w:t>
      </w:r>
      <w:r w:rsidR="00277805">
        <w:t xml:space="preserve"> creemos que en este último caso </w:t>
      </w:r>
      <w:r w:rsidR="00277805" w:rsidRPr="009910F0">
        <w:rPr>
          <w:i/>
          <w:iCs/>
        </w:rPr>
        <w:t>Alternaria</w:t>
      </w:r>
      <w:r w:rsidR="00277805">
        <w:t xml:space="preserve"> </w:t>
      </w:r>
      <w:proofErr w:type="spellStart"/>
      <w:r w:rsidR="00277805">
        <w:t>sp</w:t>
      </w:r>
      <w:proofErr w:type="spellEnd"/>
      <w:r w:rsidR="00277805">
        <w:t xml:space="preserve">. </w:t>
      </w:r>
      <w:r w:rsidR="00781F02">
        <w:t>s</w:t>
      </w:r>
      <w:r w:rsidR="00277805">
        <w:t xml:space="preserve">e comportó como un </w:t>
      </w:r>
      <w:r w:rsidR="00AA4608">
        <w:t>oportunista</w:t>
      </w:r>
      <w:r w:rsidR="00277805">
        <w:t xml:space="preserve"> más que un patógeno en sí, debido a que no se observaron plantas afectadas en grado 4 infectadas solo con Alternaria </w:t>
      </w:r>
      <w:proofErr w:type="spellStart"/>
      <w:r w:rsidR="00277805">
        <w:t>sp</w:t>
      </w:r>
      <w:proofErr w:type="spellEnd"/>
      <w:r w:rsidR="00277805">
        <w:t xml:space="preserve">. </w:t>
      </w:r>
      <w:r w:rsidR="00781F02">
        <w:t>s</w:t>
      </w:r>
      <w:r w:rsidR="00277805">
        <w:t xml:space="preserve">ino que por el contrario en todas se pudo observar la </w:t>
      </w:r>
      <w:proofErr w:type="spellStart"/>
      <w:r w:rsidR="00277805">
        <w:t>co-existencia</w:t>
      </w:r>
      <w:proofErr w:type="spellEnd"/>
      <w:r w:rsidR="00277805">
        <w:t xml:space="preserve"> de ambos patógenos.</w:t>
      </w:r>
    </w:p>
    <w:p w14:paraId="7B791365" w14:textId="01D22B90" w:rsidR="009910F0" w:rsidRDefault="009910F0" w:rsidP="009910F0">
      <w:pPr>
        <w:pStyle w:val="NormalWeb"/>
        <w:jc w:val="center"/>
      </w:pPr>
      <w:r w:rsidRPr="009910F0">
        <w:rPr>
          <w:noProof/>
        </w:rPr>
        <w:drawing>
          <wp:inline distT="0" distB="0" distL="0" distR="0" wp14:anchorId="42B86BF9" wp14:editId="7741B2DF">
            <wp:extent cx="3344694" cy="329438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a:extLst>
                        <a:ext uri="{28A0092B-C50C-407E-A947-70E740481C1C}">
                          <a14:useLocalDpi xmlns:a14="http://schemas.microsoft.com/office/drawing/2010/main" val="0"/>
                        </a:ext>
                      </a:extLst>
                    </a:blip>
                    <a:srcRect l="7860" t="28342" r="33668"/>
                    <a:stretch/>
                  </pic:blipFill>
                  <pic:spPr bwMode="auto">
                    <a:xfrm>
                      <a:off x="0" y="0"/>
                      <a:ext cx="3350022" cy="3299628"/>
                    </a:xfrm>
                    <a:prstGeom prst="rect">
                      <a:avLst/>
                    </a:prstGeom>
                    <a:noFill/>
                    <a:ln>
                      <a:noFill/>
                    </a:ln>
                    <a:extLst>
                      <a:ext uri="{53640926-AAD7-44D8-BBD7-CCE9431645EC}">
                        <a14:shadowObscured xmlns:a14="http://schemas.microsoft.com/office/drawing/2010/main"/>
                      </a:ext>
                    </a:extLst>
                  </pic:spPr>
                </pic:pic>
              </a:graphicData>
            </a:graphic>
          </wp:inline>
        </w:drawing>
      </w:r>
    </w:p>
    <w:p w14:paraId="3FC3EFA7" w14:textId="34789D05" w:rsidR="003F0A1B" w:rsidRDefault="003F0A1B" w:rsidP="003F0A1B">
      <w:pPr>
        <w:pStyle w:val="NormalWeb"/>
        <w:numPr>
          <w:ilvl w:val="0"/>
          <w:numId w:val="2"/>
        </w:numPr>
      </w:pPr>
      <w:r>
        <w:rPr>
          <w:rStyle w:val="Textoennegrita"/>
        </w:rPr>
        <w:t>Rendimiento por tratamiento (Gráfico 2)</w:t>
      </w:r>
      <w:r>
        <w:t>: El rendimiento promedio de las parcelas varió significativamente entre tratamientos. Los tratamientos con Orquesta Ultra</w:t>
      </w:r>
      <w:r w:rsidR="00AA4608">
        <w:t>,</w:t>
      </w:r>
      <w:r>
        <w:t xml:space="preserve"> </w:t>
      </w:r>
      <w:r w:rsidR="00781F02">
        <w:t>Allegro</w:t>
      </w:r>
      <w:r w:rsidR="00AA4608">
        <w:t xml:space="preserve"> y Amistar </w:t>
      </w:r>
      <w:proofErr w:type="spellStart"/>
      <w:r w:rsidR="00AA4608">
        <w:t>Xtra</w:t>
      </w:r>
      <w:proofErr w:type="spellEnd"/>
      <w:r>
        <w:t xml:space="preserve"> mostraron los mayores rendimientos, alcanzando valores </w:t>
      </w:r>
      <w:r w:rsidR="00AA4608">
        <w:t>cercanos</w:t>
      </w:r>
      <w:r>
        <w:t xml:space="preserve"> a 5000 kg/ha, mientras que el testigo presentó un rendimiento significativamente menor (alrededor de </w:t>
      </w:r>
      <w:r w:rsidR="00AA4608">
        <w:t>3250</w:t>
      </w:r>
      <w:r>
        <w:t xml:space="preserve"> kg/ha). Los asteriscos arriba de cada barra indican diferencias significativas estadísticamente.</w:t>
      </w:r>
    </w:p>
    <w:p w14:paraId="10BC5DEA" w14:textId="52F3AAD1" w:rsidR="005637AE" w:rsidRDefault="005637AE" w:rsidP="005637AE">
      <w:pPr>
        <w:pStyle w:val="NormalWeb"/>
        <w:jc w:val="center"/>
      </w:pPr>
      <w:r w:rsidRPr="005637AE">
        <w:rPr>
          <w:noProof/>
        </w:rPr>
        <w:drawing>
          <wp:inline distT="0" distB="0" distL="0" distR="0" wp14:anchorId="0F046A50" wp14:editId="2D348589">
            <wp:extent cx="2872740" cy="359664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2740" cy="3596640"/>
                    </a:xfrm>
                    <a:prstGeom prst="rect">
                      <a:avLst/>
                    </a:prstGeom>
                    <a:noFill/>
                    <a:ln>
                      <a:noFill/>
                    </a:ln>
                  </pic:spPr>
                </pic:pic>
              </a:graphicData>
            </a:graphic>
          </wp:inline>
        </w:drawing>
      </w:r>
    </w:p>
    <w:p w14:paraId="5ACDAC50" w14:textId="68ECE9CB" w:rsidR="003F0A1B" w:rsidRDefault="003F0A1B" w:rsidP="003F0A1B">
      <w:pPr>
        <w:pStyle w:val="NormalWeb"/>
        <w:numPr>
          <w:ilvl w:val="0"/>
          <w:numId w:val="2"/>
        </w:numPr>
      </w:pPr>
      <w:r>
        <w:rPr>
          <w:rStyle w:val="Textoennegrita"/>
        </w:rPr>
        <w:t>Impacto de la sintomatología en el peso de 1000 granos (Gráfico 3)</w:t>
      </w:r>
      <w:r>
        <w:t xml:space="preserve">: El peso de 1000 granos disminuyó conforme aumentó la severidad de los síntomas de infección. Las plantas clasificadas como grado 0 (sanas) tuvieron un peso promedio </w:t>
      </w:r>
      <w:r w:rsidR="00AA4608">
        <w:t>de</w:t>
      </w:r>
      <w:r>
        <w:t xml:space="preserve"> 4</w:t>
      </w:r>
      <w:r w:rsidR="00AA4608">
        <w:t>.78</w:t>
      </w:r>
      <w:r>
        <w:t xml:space="preserve"> g</w:t>
      </w:r>
      <w:r w:rsidR="00AA4608">
        <w:t>/1000 granos</w:t>
      </w:r>
      <w:r>
        <w:t xml:space="preserve">, aquellas en grado </w:t>
      </w:r>
      <w:r w:rsidR="00AA4608">
        <w:t>1 mostraron una reducción (no significativa estadísticamente a valores de 4.3 g/1000 granos, plantas con síntomas de grado 2 mostraron una reducción significativa de 3.66g/1000 granos (</w:t>
      </w:r>
      <w:r w:rsidR="004B549F">
        <w:t>-24%), finalmente plantas con síntomas de grado 3</w:t>
      </w:r>
      <w:r>
        <w:t xml:space="preserve"> (muertas por infección temprana) presentaron pesos significativamente menores </w:t>
      </w:r>
      <w:r w:rsidR="004B549F">
        <w:t xml:space="preserve">de 2.39g/1000 granos </w:t>
      </w:r>
      <w:r>
        <w:t>(</w:t>
      </w:r>
      <w:r w:rsidR="004B549F">
        <w:t>-50%</w:t>
      </w:r>
      <w:r>
        <w:t>). Los asteriscos arriba de cada barra indican diferencias significativas estadísticamente.</w:t>
      </w:r>
    </w:p>
    <w:p w14:paraId="63D1F0BA" w14:textId="4CC220D9" w:rsidR="005637AE" w:rsidRDefault="005637AE" w:rsidP="005637AE">
      <w:pPr>
        <w:pStyle w:val="NormalWeb"/>
        <w:jc w:val="center"/>
      </w:pPr>
      <w:r w:rsidRPr="005637AE">
        <w:rPr>
          <w:noProof/>
        </w:rPr>
        <w:drawing>
          <wp:inline distT="0" distB="0" distL="0" distR="0" wp14:anchorId="070CF4B8" wp14:editId="6F8B4425">
            <wp:extent cx="2979420" cy="276606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79420" cy="2766060"/>
                    </a:xfrm>
                    <a:prstGeom prst="rect">
                      <a:avLst/>
                    </a:prstGeom>
                    <a:noFill/>
                    <a:ln>
                      <a:noFill/>
                    </a:ln>
                  </pic:spPr>
                </pic:pic>
              </a:graphicData>
            </a:graphic>
          </wp:inline>
        </w:drawing>
      </w:r>
    </w:p>
    <w:p w14:paraId="1F586051" w14:textId="4E7303C4" w:rsidR="003F0A1B" w:rsidRDefault="003F0A1B" w:rsidP="003F0A1B">
      <w:pPr>
        <w:pStyle w:val="NormalWeb"/>
        <w:numPr>
          <w:ilvl w:val="0"/>
          <w:numId w:val="2"/>
        </w:numPr>
      </w:pPr>
      <w:r>
        <w:rPr>
          <w:rStyle w:val="Textoennegrita"/>
        </w:rPr>
        <w:t>Efecto de los fungicidas en el peso de 1000 granos (Gráfico 4)</w:t>
      </w:r>
      <w:r>
        <w:t>:</w:t>
      </w:r>
      <w:r w:rsidR="004B549F">
        <w:t xml:space="preserve"> Con el objeto de analizar si el tratamiento con los diferentes fungicidas modific</w:t>
      </w:r>
      <w:r w:rsidR="00510BB7">
        <w:t>a</w:t>
      </w:r>
      <w:r w:rsidR="004B549F">
        <w:t xml:space="preserve"> el peso de 1000 granos, se evaluó dicha variable en cada una de las muestras cosechadas.</w:t>
      </w:r>
      <w:r>
        <w:t xml:space="preserve"> Los tratamientos con Orquesta Ultra</w:t>
      </w:r>
      <w:r w:rsidR="004B549F">
        <w:t>,</w:t>
      </w:r>
      <w:r>
        <w:t xml:space="preserve"> </w:t>
      </w:r>
      <w:proofErr w:type="spellStart"/>
      <w:r>
        <w:t>Duett</w:t>
      </w:r>
      <w:proofErr w:type="spellEnd"/>
      <w:r>
        <w:t xml:space="preserve"> Plus </w:t>
      </w:r>
      <w:r w:rsidR="004B549F">
        <w:t xml:space="preserve">y Amistar </w:t>
      </w:r>
      <w:proofErr w:type="spellStart"/>
      <w:r w:rsidR="004B549F">
        <w:t>Xtra</w:t>
      </w:r>
      <w:proofErr w:type="spellEnd"/>
      <w:r w:rsidR="004B549F">
        <w:t xml:space="preserve"> </w:t>
      </w:r>
      <w:r>
        <w:t>también</w:t>
      </w:r>
      <w:r w:rsidR="00510BB7">
        <w:t xml:space="preserve"> se</w:t>
      </w:r>
      <w:r>
        <w:t xml:space="preserve"> destacaron por su efecto</w:t>
      </w:r>
      <w:r w:rsidR="00510BB7">
        <w:t xml:space="preserve"> significativamente</w:t>
      </w:r>
      <w:r>
        <w:t xml:space="preserve"> positivo en el peso de 1000 granos. </w:t>
      </w:r>
      <w:r w:rsidR="00510BB7">
        <w:t>Los</w:t>
      </w:r>
      <w:r>
        <w:t xml:space="preserve"> tratamiento</w:t>
      </w:r>
      <w:r w:rsidR="00510BB7">
        <w:t>s</w:t>
      </w:r>
      <w:r>
        <w:t xml:space="preserve"> con</w:t>
      </w:r>
      <w:r w:rsidR="00510BB7">
        <w:t xml:space="preserve"> Orquesta ultra, </w:t>
      </w:r>
      <w:proofErr w:type="spellStart"/>
      <w:r w:rsidR="00510BB7">
        <w:t>Duett</w:t>
      </w:r>
      <w:proofErr w:type="spellEnd"/>
      <w:r w:rsidR="00510BB7">
        <w:t xml:space="preserve"> Plus, Allegro y Amistar </w:t>
      </w:r>
      <w:proofErr w:type="spellStart"/>
      <w:r w:rsidR="00510BB7">
        <w:t>Xtra</w:t>
      </w:r>
      <w:proofErr w:type="spellEnd"/>
      <w:r w:rsidR="00510BB7">
        <w:t xml:space="preserve"> lograron incrementar un 30%, 32%, 18% y 13% el peso promedio de 1000 granos, respectivamente.</w:t>
      </w:r>
      <w:r>
        <w:t xml:space="preserve"> Amistar </w:t>
      </w:r>
      <w:proofErr w:type="spellStart"/>
      <w:r>
        <w:t>Xtra</w:t>
      </w:r>
      <w:proofErr w:type="spellEnd"/>
      <w:r>
        <w:t xml:space="preserve"> tuvo un efecto menos pronunciado, aunque superior al testigo. Los asteriscos arriba de cada barra indican diferencias significativas estadísticamente.</w:t>
      </w:r>
    </w:p>
    <w:p w14:paraId="2D64555D" w14:textId="4110E936" w:rsidR="005637AE" w:rsidRDefault="005637AE" w:rsidP="005637AE">
      <w:pPr>
        <w:pStyle w:val="NormalWeb"/>
        <w:jc w:val="center"/>
      </w:pPr>
      <w:r>
        <w:object w:dxaOrig="4152" w:dyaOrig="4906" w14:anchorId="33DCE0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4.45pt;height:265.3pt" o:ole="">
            <v:imagedata r:id="rId8" o:title=""/>
          </v:shape>
          <o:OLEObject Type="Embed" ProgID="Prism8.Document" ShapeID="_x0000_i1025" DrawAspect="Content" ObjectID="_1796282998" r:id="rId9"/>
        </w:object>
      </w:r>
    </w:p>
    <w:p w14:paraId="1FF739AD" w14:textId="57D9FC74" w:rsidR="003F0A1B" w:rsidRDefault="003F0A1B" w:rsidP="003F0A1B">
      <w:pPr>
        <w:pStyle w:val="NormalWeb"/>
      </w:pPr>
      <w:r>
        <w:rPr>
          <w:rStyle w:val="Textoennegrita"/>
        </w:rPr>
        <w:t>Discusión</w:t>
      </w:r>
      <w:r>
        <w:t xml:space="preserve"> Los resultados muestran que el uso de fungicidas en </w:t>
      </w:r>
      <w:proofErr w:type="spellStart"/>
      <w:r>
        <w:t>Carinata</w:t>
      </w:r>
      <w:proofErr w:type="spellEnd"/>
      <w:r>
        <w:t xml:space="preserve"> puede mitigar los efectos negativos de las enfermedades fúngicas sobre el rendimiento y la calidad del grano. </w:t>
      </w:r>
      <w:r w:rsidR="007952DA">
        <w:t xml:space="preserve">Todos los fungicidas redujeron significativamente la incidencia de la enfermedad. </w:t>
      </w:r>
      <w:r>
        <w:t>En particular, Orquesta Ultra</w:t>
      </w:r>
      <w:r w:rsidR="00106420">
        <w:t>,</w:t>
      </w:r>
      <w:r>
        <w:t xml:space="preserve"> </w:t>
      </w:r>
      <w:r w:rsidR="007952DA">
        <w:t>Allegro</w:t>
      </w:r>
      <w:r w:rsidR="00106420">
        <w:t xml:space="preserve"> y Amistar </w:t>
      </w:r>
      <w:proofErr w:type="spellStart"/>
      <w:r w:rsidR="00106420">
        <w:t>Xtra</w:t>
      </w:r>
      <w:proofErr w:type="spellEnd"/>
      <w:r>
        <w:t xml:space="preserve"> demostraron una mayor eficacia en el control de </w:t>
      </w:r>
      <w:proofErr w:type="spellStart"/>
      <w:r w:rsidRPr="00106420">
        <w:rPr>
          <w:i/>
          <w:iCs/>
        </w:rPr>
        <w:t>Sclerotinia</w:t>
      </w:r>
      <w:proofErr w:type="spellEnd"/>
      <w:r w:rsidRPr="00106420">
        <w:rPr>
          <w:i/>
          <w:iCs/>
        </w:rPr>
        <w:t xml:space="preserve"> </w:t>
      </w:r>
      <w:proofErr w:type="spellStart"/>
      <w:r w:rsidRPr="00106420">
        <w:rPr>
          <w:i/>
          <w:iCs/>
        </w:rPr>
        <w:t>sclerotiorum</w:t>
      </w:r>
      <w:proofErr w:type="spellEnd"/>
      <w:r>
        <w:t>, lo que se tradujo en mayores rendimientos y pesos de 1000 granos.</w:t>
      </w:r>
      <w:r w:rsidR="007952DA">
        <w:t xml:space="preserve"> A diferencia de años anteriores, en donde las infecciones por Alternaria </w:t>
      </w:r>
      <w:proofErr w:type="spellStart"/>
      <w:r w:rsidR="007952DA">
        <w:t>sp</w:t>
      </w:r>
      <w:proofErr w:type="spellEnd"/>
      <w:r w:rsidR="007952DA">
        <w:t xml:space="preserve"> fueron dominantes, este año la </w:t>
      </w:r>
      <w:proofErr w:type="spellStart"/>
      <w:r w:rsidR="007952DA">
        <w:t>prodedumbre</w:t>
      </w:r>
      <w:proofErr w:type="spellEnd"/>
      <w:r w:rsidR="007952DA">
        <w:t xml:space="preserve"> húmeda (o podredumbre blanca) por S. </w:t>
      </w:r>
      <w:proofErr w:type="spellStart"/>
      <w:r w:rsidR="007952DA">
        <w:t>sclerotiorum</w:t>
      </w:r>
      <w:proofErr w:type="spellEnd"/>
      <w:r w:rsidR="007952DA">
        <w:t xml:space="preserve"> fue la enfermedad dominante. Esto podría explicar el mejor desempeño de fungicidas como Orquesta Ultra y Allegro, en esta misma dirección el uso de Amistar </w:t>
      </w:r>
      <w:proofErr w:type="spellStart"/>
      <w:r w:rsidR="007952DA">
        <w:t>Xtra</w:t>
      </w:r>
      <w:proofErr w:type="spellEnd"/>
      <w:r w:rsidR="007952DA">
        <w:t xml:space="preserve"> </w:t>
      </w:r>
      <w:proofErr w:type="spellStart"/>
      <w:r w:rsidR="007952DA">
        <w:t>volvío</w:t>
      </w:r>
      <w:proofErr w:type="spellEnd"/>
      <w:r w:rsidR="007952DA">
        <w:t xml:space="preserve"> a evidenciar un </w:t>
      </w:r>
      <w:proofErr w:type="gramStart"/>
      <w:r w:rsidR="007952DA">
        <w:t>incremento significativos</w:t>
      </w:r>
      <w:proofErr w:type="gramEnd"/>
      <w:r w:rsidR="007952DA">
        <w:t xml:space="preserve"> de las parcelas tratadas con dicho fungicida</w:t>
      </w:r>
      <w:r w:rsidR="00B00876">
        <w:t xml:space="preserve">. </w:t>
      </w:r>
      <w:r>
        <w:t>Esto sugiere que la eficacia relativa de los fungicidas puede variar dependiendo de la presión</w:t>
      </w:r>
      <w:r w:rsidR="00B00876">
        <w:t xml:space="preserve"> y tipo</w:t>
      </w:r>
      <w:r>
        <w:t xml:space="preserve"> de enfermedad.</w:t>
      </w:r>
    </w:p>
    <w:p w14:paraId="6A6C6668" w14:textId="065F9607" w:rsidR="003F0A1B" w:rsidRDefault="003F0A1B" w:rsidP="003F0A1B">
      <w:pPr>
        <w:pStyle w:val="NormalWeb"/>
      </w:pPr>
      <w:r>
        <w:t xml:space="preserve">La disminución del peso de 1000 granos en plantas con síntomas severos resalta la importancia de un manejo oportuno de las enfermedades. </w:t>
      </w:r>
      <w:r w:rsidR="00B00876">
        <w:t xml:space="preserve">Así las parcelas testigo con alta incidencia de la enfermedad fueron las que mostraron menor peso promedio de 1000 granos. </w:t>
      </w:r>
      <w:r>
        <w:t>Estos resultados son consistentes con estudios previos que subrayan la relevancia de la aplicación de fungicidas en etapas clave del desarrollo del cultivo.</w:t>
      </w:r>
      <w:r w:rsidR="00B00876">
        <w:t xml:space="preserve"> </w:t>
      </w:r>
    </w:p>
    <w:p w14:paraId="3DE5B722" w14:textId="77777777" w:rsidR="00B00876" w:rsidRDefault="00B00876" w:rsidP="003F0A1B">
      <w:pPr>
        <w:pStyle w:val="NormalWeb"/>
        <w:rPr>
          <w:rStyle w:val="Textoennegrita"/>
        </w:rPr>
      </w:pPr>
    </w:p>
    <w:p w14:paraId="5BA18556" w14:textId="631F2BF1" w:rsidR="003F0A1B" w:rsidRDefault="003F0A1B" w:rsidP="003F0A1B">
      <w:pPr>
        <w:pStyle w:val="NormalWeb"/>
      </w:pPr>
      <w:r>
        <w:rPr>
          <w:rStyle w:val="Textoennegrita"/>
        </w:rPr>
        <w:t>Conclusión y Recomendaciones</w:t>
      </w:r>
    </w:p>
    <w:p w14:paraId="5E85211D" w14:textId="59706553" w:rsidR="003F0A1B" w:rsidRDefault="003F0A1B" w:rsidP="003F0A1B">
      <w:pPr>
        <w:pStyle w:val="NormalWeb"/>
        <w:numPr>
          <w:ilvl w:val="0"/>
          <w:numId w:val="3"/>
        </w:numPr>
      </w:pPr>
      <w:r>
        <w:t>Orquesta Ultra</w:t>
      </w:r>
      <w:r w:rsidR="00B00876">
        <w:t xml:space="preserve">, Allegro y Amistar </w:t>
      </w:r>
      <w:proofErr w:type="spellStart"/>
      <w:r w:rsidR="00B00876">
        <w:t>Xtra</w:t>
      </w:r>
      <w:proofErr w:type="spellEnd"/>
      <w:r w:rsidR="00B00876">
        <w:t xml:space="preserve"> </w:t>
      </w:r>
      <w:r>
        <w:t xml:space="preserve">son opciones efectivas para el manejo de enfermedades fúngicas en </w:t>
      </w:r>
      <w:proofErr w:type="spellStart"/>
      <w:r>
        <w:t>Carinata</w:t>
      </w:r>
      <w:proofErr w:type="spellEnd"/>
      <w:r>
        <w:t xml:space="preserve">, especialmente para minimizar el impacto de </w:t>
      </w:r>
      <w:proofErr w:type="spellStart"/>
      <w:r w:rsidRPr="00B00876">
        <w:rPr>
          <w:i/>
          <w:iCs/>
        </w:rPr>
        <w:t>Sclerotinia</w:t>
      </w:r>
      <w:proofErr w:type="spellEnd"/>
      <w:r w:rsidRPr="00B00876">
        <w:rPr>
          <w:i/>
          <w:iCs/>
        </w:rPr>
        <w:t xml:space="preserve"> </w:t>
      </w:r>
      <w:proofErr w:type="spellStart"/>
      <w:r w:rsidRPr="00B00876">
        <w:rPr>
          <w:i/>
          <w:iCs/>
        </w:rPr>
        <w:t>sclerotiorum</w:t>
      </w:r>
      <w:proofErr w:type="spellEnd"/>
      <w:r>
        <w:t>.</w:t>
      </w:r>
    </w:p>
    <w:p w14:paraId="47EBFC0A" w14:textId="5B84E179" w:rsidR="00B00876" w:rsidRDefault="00B00876" w:rsidP="003F0A1B">
      <w:pPr>
        <w:pStyle w:val="NormalWeb"/>
        <w:numPr>
          <w:ilvl w:val="0"/>
          <w:numId w:val="3"/>
        </w:numPr>
      </w:pPr>
      <w:r>
        <w:t xml:space="preserve">Amistar </w:t>
      </w:r>
      <w:proofErr w:type="spellStart"/>
      <w:r>
        <w:t>Xtra</w:t>
      </w:r>
      <w:proofErr w:type="spellEnd"/>
      <w:r>
        <w:t xml:space="preserve"> es el único fungicida evaluado hasta el momento capaz de incrementar el rendimiento independientemente de la enfermedad dominante</w:t>
      </w:r>
      <w:r w:rsidR="00AD59CC">
        <w:t xml:space="preserve"> (datos de 3 años de ensayos)</w:t>
      </w:r>
      <w:r>
        <w:t>.</w:t>
      </w:r>
    </w:p>
    <w:p w14:paraId="34542C74" w14:textId="77777777" w:rsidR="003F0A1B" w:rsidRDefault="003F0A1B" w:rsidP="003F0A1B">
      <w:pPr>
        <w:pStyle w:val="NormalWeb"/>
        <w:numPr>
          <w:ilvl w:val="0"/>
          <w:numId w:val="3"/>
        </w:numPr>
      </w:pPr>
      <w:r>
        <w:t>Se recomienda realizar aplicaciones en el momento de la elongación de la vara floral para maximizar la eficacia.</w:t>
      </w:r>
    </w:p>
    <w:p w14:paraId="1C3A2C98" w14:textId="6DFDEB38" w:rsidR="003F0A1B" w:rsidRDefault="003F0A1B" w:rsidP="003F0A1B">
      <w:pPr>
        <w:pStyle w:val="NormalWeb"/>
        <w:numPr>
          <w:ilvl w:val="0"/>
          <w:numId w:val="3"/>
        </w:numPr>
      </w:pPr>
      <w:r>
        <w:t>Futuras investigaciones podrían evaluar combinaciones de fungicidas y estrategias integradas de manejo para optimizar el rendimiento y la calidad del grano.</w:t>
      </w:r>
    </w:p>
    <w:p w14:paraId="4135B9F5" w14:textId="71DDDC3A" w:rsidR="002C17C0" w:rsidRPr="00496DD2" w:rsidRDefault="002C17C0" w:rsidP="002C17C0">
      <w:pPr>
        <w:pStyle w:val="NormalWeb"/>
        <w:rPr>
          <w:rStyle w:val="Textoennegrita"/>
        </w:rPr>
      </w:pPr>
      <w:r w:rsidRPr="00496DD2">
        <w:rPr>
          <w:rStyle w:val="Textoennegrita"/>
        </w:rPr>
        <w:t>Información complementaria</w:t>
      </w:r>
    </w:p>
    <w:p w14:paraId="1801B78C" w14:textId="60C243C9" w:rsidR="003F0A1B" w:rsidRDefault="00496DD2" w:rsidP="00496DD2">
      <w:pPr>
        <w:jc w:val="center"/>
      </w:pPr>
      <w:r>
        <w:rPr>
          <w:noProof/>
        </w:rPr>
        <w:drawing>
          <wp:inline distT="0" distB="0" distL="0" distR="0" wp14:anchorId="17AF62F8" wp14:editId="3E747B9E">
            <wp:extent cx="4572000" cy="2743200"/>
            <wp:effectExtent l="0" t="0" r="0" b="0"/>
            <wp:docPr id="4" name="Gráfico 4">
              <a:extLst xmlns:a="http://schemas.openxmlformats.org/drawingml/2006/main">
                <a:ext uri="{FF2B5EF4-FFF2-40B4-BE49-F238E27FC236}">
                  <a16:creationId xmlns:a16="http://schemas.microsoft.com/office/drawing/2014/main" id="{32029799-18DE-4773-9473-4FEC2277587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sectPr w:rsidR="003F0A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3D041D"/>
    <w:multiLevelType w:val="multilevel"/>
    <w:tmpl w:val="1ACEC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7B3BBE"/>
    <w:multiLevelType w:val="multilevel"/>
    <w:tmpl w:val="5B02E5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0353C2"/>
    <w:multiLevelType w:val="multilevel"/>
    <w:tmpl w:val="1BA4E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591756"/>
    <w:multiLevelType w:val="multilevel"/>
    <w:tmpl w:val="F794A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3369226">
    <w:abstractNumId w:val="1"/>
  </w:num>
  <w:num w:numId="2" w16cid:durableId="56362444">
    <w:abstractNumId w:val="3"/>
  </w:num>
  <w:num w:numId="3" w16cid:durableId="1441603937">
    <w:abstractNumId w:val="2"/>
  </w:num>
  <w:num w:numId="4" w16cid:durableId="2128816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A1B"/>
    <w:rsid w:val="00106420"/>
    <w:rsid w:val="00277805"/>
    <w:rsid w:val="002C17C0"/>
    <w:rsid w:val="003973BD"/>
    <w:rsid w:val="003F0A1B"/>
    <w:rsid w:val="00496DD2"/>
    <w:rsid w:val="004B549F"/>
    <w:rsid w:val="00510BB7"/>
    <w:rsid w:val="005637AE"/>
    <w:rsid w:val="006C787D"/>
    <w:rsid w:val="00781F02"/>
    <w:rsid w:val="007952DA"/>
    <w:rsid w:val="007F741E"/>
    <w:rsid w:val="009910F0"/>
    <w:rsid w:val="00A8271A"/>
    <w:rsid w:val="00AA4608"/>
    <w:rsid w:val="00AD59CC"/>
    <w:rsid w:val="00B00876"/>
    <w:rsid w:val="00B15D86"/>
    <w:rsid w:val="00C9048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F4F7AE1"/>
  <w15:chartTrackingRefBased/>
  <w15:docId w15:val="{ABF69274-F1D4-40E9-903B-285DDB97E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F0A1B"/>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3F0A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4608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oleObject" Target="embeddings/oleObject1.bin"/></Relationships>
</file>

<file path=word/charts/_rels/chart1.xml.rels><?xml version="1.0" encoding="UTF-8" standalone="yes"?>
<Relationships xmlns="http://schemas.openxmlformats.org/package/2006/relationships"><Relationship Id="rId3" Type="http://schemas.openxmlformats.org/officeDocument/2006/relationships/oleObject" Target="Libro4"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r>
              <a:rPr lang="en-US"/>
              <a:t>Precipitaciones 2024 (mm)</a:t>
            </a:r>
          </a:p>
        </c:rich>
      </c:tx>
      <c:overlay val="0"/>
      <c:spPr>
        <a:noFill/>
        <a:ln>
          <a:noFill/>
        </a:ln>
        <a:effectLst/>
      </c:spPr>
      <c:txPr>
        <a:bodyPr rot="0" spcFirstLastPara="1" vertOverflow="ellipsis" vert="horz" wrap="square" anchor="ctr" anchorCtr="1"/>
        <a:lstStyle/>
        <a:p>
          <a:pPr>
            <a:defRPr b="0" i="0" u="none" strike="noStrike" kern="1200" baseline="0">
              <a:solidFill>
                <a:schemeClr val="dk1">
                  <a:lumMod val="65000"/>
                  <a:lumOff val="35000"/>
                </a:schemeClr>
              </a:solidFill>
              <a:effectLst/>
              <a:latin typeface="+mn-lt"/>
              <a:ea typeface="+mn-ea"/>
              <a:cs typeface="+mn-cs"/>
            </a:defRPr>
          </a:pPr>
          <a:endParaRPr lang="es-AR"/>
        </a:p>
      </c:txPr>
    </c:title>
    <c:autoTitleDeleted val="0"/>
    <c:plotArea>
      <c:layout/>
      <c:barChart>
        <c:barDir val="col"/>
        <c:grouping val="clustered"/>
        <c:varyColors val="0"/>
        <c:ser>
          <c:idx val="0"/>
          <c:order val="0"/>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s-A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Hoja1!$A$1:$A$12</c:f>
              <c:strCache>
                <c:ptCount val="12"/>
                <c:pt idx="0">
                  <c:v>Enero</c:v>
                </c:pt>
                <c:pt idx="1">
                  <c:v>Febrero</c:v>
                </c:pt>
                <c:pt idx="2">
                  <c:v>Marzo</c:v>
                </c:pt>
                <c:pt idx="3">
                  <c:v>Abril</c:v>
                </c:pt>
                <c:pt idx="4">
                  <c:v>Mayo</c:v>
                </c:pt>
                <c:pt idx="5">
                  <c:v>Junio</c:v>
                </c:pt>
                <c:pt idx="6">
                  <c:v>Julio</c:v>
                </c:pt>
                <c:pt idx="7">
                  <c:v>Agosto</c:v>
                </c:pt>
                <c:pt idx="8">
                  <c:v>Septiembre</c:v>
                </c:pt>
                <c:pt idx="9">
                  <c:v>Octubre</c:v>
                </c:pt>
                <c:pt idx="10">
                  <c:v>Noviembre</c:v>
                </c:pt>
                <c:pt idx="11">
                  <c:v>Diciembre</c:v>
                </c:pt>
              </c:strCache>
            </c:strRef>
          </c:cat>
          <c:val>
            <c:numRef>
              <c:f>Hoja1!$B$1:$B$12</c:f>
              <c:numCache>
                <c:formatCode>General</c:formatCode>
                <c:ptCount val="12"/>
                <c:pt idx="0">
                  <c:v>39.5</c:v>
                </c:pt>
                <c:pt idx="1">
                  <c:v>175</c:v>
                </c:pt>
                <c:pt idx="2">
                  <c:v>196.5</c:v>
                </c:pt>
                <c:pt idx="3">
                  <c:v>230.5</c:v>
                </c:pt>
                <c:pt idx="4">
                  <c:v>26</c:v>
                </c:pt>
                <c:pt idx="5">
                  <c:v>40</c:v>
                </c:pt>
                <c:pt idx="6">
                  <c:v>43</c:v>
                </c:pt>
                <c:pt idx="7">
                  <c:v>103</c:v>
                </c:pt>
                <c:pt idx="8">
                  <c:v>57</c:v>
                </c:pt>
                <c:pt idx="9">
                  <c:v>41</c:v>
                </c:pt>
                <c:pt idx="10">
                  <c:v>157</c:v>
                </c:pt>
                <c:pt idx="11">
                  <c:v>61</c:v>
                </c:pt>
              </c:numCache>
            </c:numRef>
          </c:val>
          <c:extLst>
            <c:ext xmlns:c16="http://schemas.microsoft.com/office/drawing/2014/chart" uri="{C3380CC4-5D6E-409C-BE32-E72D297353CC}">
              <c16:uniqueId val="{00000000-78A6-4F3F-AEC0-E61A84210B17}"/>
            </c:ext>
          </c:extLst>
        </c:ser>
        <c:dLbls>
          <c:dLblPos val="inEnd"/>
          <c:showLegendKey val="0"/>
          <c:showVal val="1"/>
          <c:showCatName val="0"/>
          <c:showSerName val="0"/>
          <c:showPercent val="0"/>
          <c:showBubbleSize val="0"/>
        </c:dLbls>
        <c:gapWidth val="41"/>
        <c:axId val="97684848"/>
        <c:axId val="97673616"/>
      </c:barChart>
      <c:catAx>
        <c:axId val="97684848"/>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mn-lt"/>
                <a:ea typeface="+mn-ea"/>
                <a:cs typeface="+mn-cs"/>
              </a:defRPr>
            </a:pPr>
            <a:endParaRPr lang="es-AR"/>
          </a:p>
        </c:txPr>
        <c:crossAx val="97673616"/>
        <c:crosses val="autoZero"/>
        <c:auto val="1"/>
        <c:lblAlgn val="ctr"/>
        <c:lblOffset val="100"/>
        <c:noMultiLvlLbl val="0"/>
      </c:catAx>
      <c:valAx>
        <c:axId val="97673616"/>
        <c:scaling>
          <c:orientation val="minMax"/>
        </c:scaling>
        <c:delete val="1"/>
        <c:axPos val="l"/>
        <c:numFmt formatCode="General" sourceLinked="1"/>
        <c:majorTickMark val="none"/>
        <c:minorTickMark val="none"/>
        <c:tickLblPos val="nextTo"/>
        <c:crossAx val="9768484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s-A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1113</Words>
  <Characters>6127</Characters>
  <Application>Microsoft Office Word</Application>
  <DocSecurity>4</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Orlando Vellaz</cp:lastModifiedBy>
  <cp:revision>2</cp:revision>
  <dcterms:created xsi:type="dcterms:W3CDTF">2024-12-21T13:44:00Z</dcterms:created>
  <dcterms:modified xsi:type="dcterms:W3CDTF">2024-12-21T13:44:00Z</dcterms:modified>
</cp:coreProperties>
</file>